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BA20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0B58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9"/>
        </w:trPr>
        <w:tc>
          <w:tcPr>
            <w:tcW w:w="9016" w:type="dxa"/>
            <w:shd w:val="clear" w:color="auto" w:fill="auto"/>
          </w:tcPr>
          <w:p w:rsidR="00083034" w:rsidRPr="0015596D" w:rsidP="000B5892">
            <w:pPr>
              <w:spacing w:before="60"/>
              <w:rPr>
                <w:rFonts w:cs="Arial"/>
                <w:b/>
                <w:szCs w:val="24"/>
              </w:rPr>
            </w:pPr>
            <w:r w:rsidRPr="0015596D">
              <w:rPr>
                <w:rFonts w:cs="Arial"/>
                <w:b/>
                <w:szCs w:val="24"/>
              </w:rPr>
              <w:t>Procurement Title</w:t>
            </w:r>
          </w:p>
          <w:p w:rsidR="00083034" w:rsidRPr="0015596D" w:rsidP="0029641B">
            <w:pPr>
              <w:rPr>
                <w:rFonts w:cs="Arial"/>
                <w:szCs w:val="24"/>
                <w:highlight w:val="yellow"/>
              </w:rPr>
            </w:pPr>
            <w:r w:rsidRPr="0015596D">
              <w:rPr>
                <w:szCs w:val="24"/>
              </w:rPr>
              <w:t>Street Lighting Electrical Connection Services</w:t>
            </w:r>
          </w:p>
        </w:tc>
      </w:tr>
      <w:tr w:rsidTr="00B54EF6">
        <w:tblPrEx>
          <w:tblW w:w="0" w:type="auto"/>
          <w:tblLook w:val="04A0"/>
        </w:tblPrEx>
        <w:trPr>
          <w:trHeight w:val="1825"/>
        </w:trPr>
        <w:tc>
          <w:tcPr>
            <w:tcW w:w="9016" w:type="dxa"/>
            <w:shd w:val="clear" w:color="auto" w:fill="auto"/>
          </w:tcPr>
          <w:p w:rsidR="00083034" w:rsidRPr="0015596D" w:rsidP="00066A35">
            <w:pPr>
              <w:spacing w:before="60"/>
              <w:rPr>
                <w:rFonts w:cs="Arial"/>
                <w:b/>
                <w:szCs w:val="24"/>
              </w:rPr>
            </w:pPr>
            <w:r w:rsidRPr="0015596D">
              <w:rPr>
                <w:rFonts w:cs="Arial"/>
                <w:b/>
                <w:szCs w:val="24"/>
              </w:rPr>
              <w:t>Procurement Option</w:t>
            </w:r>
          </w:p>
          <w:p w:rsidR="00066A35" w:rsidRPr="0015596D" w:rsidP="00AD1706">
            <w:pPr>
              <w:spacing w:before="60"/>
              <w:rPr>
                <w:rFonts w:cs="Arial"/>
                <w:szCs w:val="24"/>
              </w:rPr>
            </w:pPr>
            <w:r w:rsidRPr="0015596D">
              <w:rPr>
                <w:rFonts w:cs="Arial"/>
                <w:szCs w:val="24"/>
              </w:rPr>
              <w:t xml:space="preserve">To procure the services via the framework agreement let by the Greater Manchester Combined Authorities (GMCA), formerly the Association of Greater Manchester Authorities (AGMA), following the completion of a tender process conducted in accordance with the </w:t>
            </w:r>
            <w:r w:rsidRPr="0015596D">
              <w:rPr>
                <w:rFonts w:cs="Arial"/>
                <w:szCs w:val="24"/>
              </w:rPr>
              <w:t xml:space="preserve">Public </w:t>
            </w:r>
            <w:r>
              <w:rPr>
                <w:rFonts w:cs="Arial"/>
                <w:szCs w:val="24"/>
              </w:rPr>
              <w:t xml:space="preserve">Contracts </w:t>
            </w:r>
            <w:r w:rsidRPr="0015596D">
              <w:rPr>
                <w:rFonts w:cs="Arial"/>
                <w:szCs w:val="24"/>
              </w:rPr>
              <w:t xml:space="preserve">Regulations 2015 using the OJEU Open </w:t>
            </w:r>
            <w:r>
              <w:rPr>
                <w:rFonts w:cs="Arial"/>
                <w:szCs w:val="24"/>
              </w:rPr>
              <w:t>procedure for s</w:t>
            </w:r>
            <w:r w:rsidRPr="0015596D">
              <w:rPr>
                <w:rFonts w:cs="Arial"/>
                <w:szCs w:val="24"/>
              </w:rPr>
              <w:t>ervices.</w:t>
            </w:r>
          </w:p>
        </w:tc>
      </w:tr>
      <w:tr w:rsidTr="00B54EF6">
        <w:tblPrEx>
          <w:tblW w:w="0" w:type="auto"/>
          <w:tblLook w:val="04A0"/>
        </w:tblPrEx>
        <w:trPr>
          <w:trHeight w:val="972"/>
        </w:trPr>
        <w:tc>
          <w:tcPr>
            <w:tcW w:w="9016" w:type="dxa"/>
            <w:shd w:val="clear" w:color="auto" w:fill="auto"/>
          </w:tcPr>
          <w:p w:rsidR="00083034" w:rsidRPr="0015596D" w:rsidP="000B5892">
            <w:pPr>
              <w:spacing w:before="60"/>
              <w:rPr>
                <w:rFonts w:cs="Arial"/>
                <w:b/>
                <w:szCs w:val="24"/>
              </w:rPr>
            </w:pPr>
            <w:r w:rsidRPr="0015596D">
              <w:rPr>
                <w:rFonts w:cs="Arial"/>
                <w:b/>
                <w:szCs w:val="24"/>
              </w:rPr>
              <w:t>New or Existing Provision</w:t>
            </w:r>
          </w:p>
          <w:p w:rsidR="00083034" w:rsidRPr="0015596D" w:rsidP="00AD1706">
            <w:pPr>
              <w:rPr>
                <w:rFonts w:cs="Arial"/>
                <w:szCs w:val="24"/>
                <w:highlight w:val="yellow"/>
              </w:rPr>
            </w:pPr>
            <w:r w:rsidRPr="0015596D">
              <w:rPr>
                <w:rFonts w:cs="Arial"/>
                <w:szCs w:val="24"/>
              </w:rPr>
              <w:t xml:space="preserve">To replace the existing framework let by AGMA, </w:t>
            </w:r>
            <w:r>
              <w:rPr>
                <w:rFonts w:cs="Arial"/>
                <w:szCs w:val="24"/>
              </w:rPr>
              <w:t xml:space="preserve">from </w:t>
            </w:r>
            <w:r w:rsidRPr="0015596D">
              <w:rPr>
                <w:rFonts w:cs="Arial"/>
                <w:szCs w:val="24"/>
              </w:rPr>
              <w:t>which LCC has been procuring since 2016</w:t>
            </w:r>
            <w:r>
              <w:rPr>
                <w:rFonts w:cs="Arial"/>
                <w:szCs w:val="24"/>
              </w:rPr>
              <w:t xml:space="preserve"> and</w:t>
            </w:r>
            <w:r w:rsidRPr="0015596D">
              <w:rPr>
                <w:rFonts w:cs="Arial"/>
                <w:szCs w:val="24"/>
              </w:rPr>
              <w:t xml:space="preserve"> which is due to expire </w:t>
            </w:r>
            <w:r>
              <w:rPr>
                <w:rFonts w:cs="Arial"/>
                <w:szCs w:val="24"/>
              </w:rPr>
              <w:t xml:space="preserve">on </w:t>
            </w:r>
            <w:r w:rsidRPr="0015596D">
              <w:rPr>
                <w:rFonts w:cs="Arial"/>
                <w:szCs w:val="24"/>
              </w:rPr>
              <w:t>30</w:t>
            </w:r>
            <w:r w:rsidRPr="0015596D">
              <w:rPr>
                <w:rFonts w:cs="Arial"/>
                <w:szCs w:val="24"/>
                <w:vertAlign w:val="superscript"/>
              </w:rPr>
              <w:t>th</w:t>
            </w:r>
            <w:r w:rsidRPr="0015596D">
              <w:rPr>
                <w:rFonts w:cs="Arial"/>
                <w:szCs w:val="24"/>
              </w:rPr>
              <w:t xml:space="preserve"> September 2020.</w:t>
            </w:r>
          </w:p>
        </w:tc>
      </w:tr>
      <w:tr w:rsidTr="00E27368">
        <w:tblPrEx>
          <w:tblW w:w="0" w:type="auto"/>
          <w:tblLook w:val="04A0"/>
        </w:tblPrEx>
        <w:trPr>
          <w:trHeight w:val="700"/>
        </w:trPr>
        <w:tc>
          <w:tcPr>
            <w:tcW w:w="9016" w:type="dxa"/>
            <w:shd w:val="clear" w:color="auto" w:fill="auto"/>
          </w:tcPr>
          <w:p w:rsidR="00083034" w:rsidRPr="0015596D" w:rsidP="000B5892">
            <w:pPr>
              <w:spacing w:before="60"/>
              <w:rPr>
                <w:rFonts w:cs="Arial"/>
                <w:b/>
                <w:szCs w:val="24"/>
              </w:rPr>
            </w:pPr>
            <w:r w:rsidRPr="0015596D">
              <w:rPr>
                <w:rFonts w:cs="Arial"/>
                <w:b/>
                <w:szCs w:val="24"/>
              </w:rPr>
              <w:t>Estimated Annual Contract Value and Funding Arrangements</w:t>
            </w:r>
          </w:p>
          <w:p w:rsidR="00083034" w:rsidRPr="0015596D" w:rsidP="00A45F6B">
            <w:pPr>
              <w:jc w:val="both"/>
              <w:rPr>
                <w:rFonts w:cs="Arial"/>
                <w:szCs w:val="24"/>
              </w:rPr>
            </w:pPr>
            <w:r w:rsidRPr="0015596D">
              <w:rPr>
                <w:rFonts w:cs="Arial"/>
                <w:szCs w:val="24"/>
              </w:rPr>
              <w:t xml:space="preserve">The estimated annual value is £672,000, </w:t>
            </w:r>
            <w:r>
              <w:rPr>
                <w:rFonts w:cs="Arial"/>
                <w:szCs w:val="24"/>
              </w:rPr>
              <w:t>with a total value over four years of £2.7m.</w:t>
            </w:r>
            <w:r w:rsidRPr="0015596D">
              <w:rPr>
                <w:rFonts w:cs="Arial"/>
                <w:szCs w:val="24"/>
              </w:rPr>
              <w:t xml:space="preserve"> </w:t>
            </w:r>
            <w:r>
              <w:rPr>
                <w:rFonts w:cs="Arial"/>
                <w:szCs w:val="24"/>
              </w:rPr>
              <w:t>F</w:t>
            </w:r>
            <w:r w:rsidRPr="0015596D">
              <w:rPr>
                <w:rFonts w:cs="Arial"/>
                <w:szCs w:val="24"/>
              </w:rPr>
              <w:t>unded by capital and revenue budgets.</w:t>
            </w:r>
          </w:p>
        </w:tc>
      </w:tr>
      <w:tr w:rsidTr="00B54EF6">
        <w:tblPrEx>
          <w:tblW w:w="0" w:type="auto"/>
          <w:tblLook w:val="04A0"/>
        </w:tblPrEx>
        <w:trPr>
          <w:trHeight w:val="996"/>
        </w:trPr>
        <w:tc>
          <w:tcPr>
            <w:tcW w:w="9016" w:type="dxa"/>
            <w:shd w:val="clear" w:color="auto" w:fill="auto"/>
          </w:tcPr>
          <w:p w:rsidR="00083034" w:rsidRPr="0015596D" w:rsidP="000B5892">
            <w:pPr>
              <w:spacing w:before="60"/>
              <w:rPr>
                <w:rFonts w:cs="Arial"/>
                <w:b/>
                <w:szCs w:val="24"/>
              </w:rPr>
            </w:pPr>
            <w:r w:rsidRPr="0015596D">
              <w:rPr>
                <w:rFonts w:cs="Arial"/>
                <w:b/>
                <w:szCs w:val="24"/>
              </w:rPr>
              <w:t>Contract Duration</w:t>
            </w:r>
          </w:p>
          <w:p w:rsidR="00083034" w:rsidRPr="0015596D" w:rsidP="00A45F6B">
            <w:pPr>
              <w:rPr>
                <w:rFonts w:cs="Arial"/>
                <w:szCs w:val="24"/>
              </w:rPr>
            </w:pPr>
            <w:r w:rsidRPr="0015596D">
              <w:rPr>
                <w:rFonts w:cs="Arial"/>
                <w:szCs w:val="24"/>
              </w:rPr>
              <w:t>Two years, commencing 1</w:t>
            </w:r>
            <w:r w:rsidRPr="0015596D">
              <w:rPr>
                <w:rFonts w:cs="Arial"/>
                <w:szCs w:val="24"/>
                <w:vertAlign w:val="superscript"/>
              </w:rPr>
              <w:t>st</w:t>
            </w:r>
            <w:r w:rsidRPr="0015596D">
              <w:rPr>
                <w:rFonts w:cs="Arial"/>
                <w:szCs w:val="24"/>
              </w:rPr>
              <w:t xml:space="preserve"> October 2020, with an option to extend for two further years.</w:t>
            </w:r>
            <w:r>
              <w:rPr>
                <w:rFonts w:cs="Arial"/>
                <w:szCs w:val="24"/>
              </w:rPr>
              <w:t xml:space="preserve"> </w:t>
            </w:r>
          </w:p>
        </w:tc>
      </w:tr>
      <w:tr w:rsidTr="00B54EF6">
        <w:tblPrEx>
          <w:tblW w:w="0" w:type="auto"/>
          <w:tblLook w:val="04A0"/>
        </w:tblPrEx>
        <w:trPr>
          <w:trHeight w:val="2682"/>
        </w:trPr>
        <w:tc>
          <w:tcPr>
            <w:tcW w:w="9016" w:type="dxa"/>
            <w:shd w:val="clear" w:color="auto" w:fill="auto"/>
          </w:tcPr>
          <w:p w:rsidR="00083034" w:rsidRPr="0015596D" w:rsidP="00722020">
            <w:pPr>
              <w:spacing w:before="60"/>
              <w:ind w:left="794" w:hanging="794"/>
              <w:rPr>
                <w:rFonts w:cs="Arial"/>
                <w:b/>
                <w:szCs w:val="24"/>
              </w:rPr>
            </w:pPr>
            <w:r w:rsidRPr="0015596D">
              <w:rPr>
                <w:rFonts w:cs="Arial"/>
                <w:b/>
                <w:szCs w:val="24"/>
              </w:rPr>
              <w:t>Lotting</w:t>
            </w:r>
          </w:p>
          <w:p w:rsidR="00722020" w:rsidRPr="0015596D" w:rsidP="00722020">
            <w:pPr>
              <w:ind w:left="794" w:hanging="794"/>
              <w:rPr>
                <w:rFonts w:cs="Arial"/>
                <w:szCs w:val="24"/>
              </w:rPr>
            </w:pPr>
            <w:r w:rsidRPr="0015596D">
              <w:rPr>
                <w:rFonts w:cs="Arial"/>
                <w:szCs w:val="24"/>
              </w:rPr>
              <w:t>The framework comprises five lots:</w:t>
            </w:r>
          </w:p>
          <w:p w:rsidR="00083034" w:rsidRPr="0015596D" w:rsidP="00722020">
            <w:pPr>
              <w:ind w:left="794" w:hanging="794"/>
              <w:rPr>
                <w:rFonts w:cs="Arial"/>
                <w:szCs w:val="24"/>
              </w:rPr>
            </w:pPr>
            <w:r w:rsidRPr="0015596D">
              <w:rPr>
                <w:rFonts w:cs="Arial"/>
                <w:szCs w:val="24"/>
              </w:rPr>
              <w:t>Lot 1 – Electricity North West (ENW) Distribution Network Operator Geographical Region</w:t>
            </w:r>
          </w:p>
          <w:p w:rsidR="00890728" w:rsidRPr="0015596D" w:rsidP="00722020">
            <w:pPr>
              <w:ind w:left="794" w:hanging="794"/>
              <w:rPr>
                <w:rFonts w:cs="Arial"/>
                <w:szCs w:val="24"/>
              </w:rPr>
            </w:pPr>
            <w:r w:rsidRPr="0015596D">
              <w:rPr>
                <w:rFonts w:cs="Arial"/>
                <w:szCs w:val="24"/>
              </w:rPr>
              <w:t xml:space="preserve">Lot 2 – Scottish Power Distribution Network Operator </w:t>
            </w:r>
            <w:r w:rsidRPr="0015596D">
              <w:rPr>
                <w:rFonts w:cs="Arial"/>
                <w:szCs w:val="24"/>
              </w:rPr>
              <w:t>Geographical Region</w:t>
            </w:r>
          </w:p>
          <w:p w:rsidR="00E16304" w:rsidRPr="0015596D" w:rsidP="00722020">
            <w:pPr>
              <w:ind w:left="794" w:hanging="794"/>
              <w:rPr>
                <w:rFonts w:cs="Arial"/>
                <w:szCs w:val="24"/>
              </w:rPr>
            </w:pPr>
            <w:r w:rsidRPr="0015596D">
              <w:rPr>
                <w:rFonts w:cs="Arial"/>
                <w:szCs w:val="24"/>
              </w:rPr>
              <w:t>Lot 3 – Energetics Independent Distribution Network Operator Sites</w:t>
            </w:r>
          </w:p>
          <w:p w:rsidR="00E16304" w:rsidRPr="0015596D" w:rsidP="00722020">
            <w:pPr>
              <w:ind w:left="794" w:hanging="794"/>
              <w:rPr>
                <w:rFonts w:cs="Arial"/>
                <w:szCs w:val="24"/>
              </w:rPr>
            </w:pPr>
            <w:r w:rsidRPr="0015596D">
              <w:rPr>
                <w:rFonts w:cs="Arial"/>
                <w:szCs w:val="24"/>
              </w:rPr>
              <w:t>Lot 4 – IPNL (Independent Power Networks) Independent Distribution Network Operator Sites</w:t>
            </w:r>
          </w:p>
          <w:p w:rsidR="00722020" w:rsidRPr="0015596D" w:rsidP="00722020">
            <w:pPr>
              <w:ind w:left="794" w:hanging="794"/>
              <w:rPr>
                <w:rFonts w:cs="Arial"/>
                <w:szCs w:val="24"/>
              </w:rPr>
            </w:pPr>
            <w:r w:rsidRPr="0015596D">
              <w:rPr>
                <w:rFonts w:cs="Arial"/>
                <w:szCs w:val="24"/>
              </w:rPr>
              <w:t>Lot 5 – ESP Electricity Ltd Independent Distribution Network Operator Sites</w:t>
            </w:r>
          </w:p>
        </w:tc>
      </w:tr>
      <w:tr w:rsidTr="00C91630">
        <w:tblPrEx>
          <w:tblW w:w="0" w:type="auto"/>
          <w:tblLook w:val="04A0"/>
        </w:tblPrEx>
        <w:trPr>
          <w:trHeight w:val="996"/>
        </w:trPr>
        <w:tc>
          <w:tcPr>
            <w:tcW w:w="9016" w:type="dxa"/>
            <w:shd w:val="clear" w:color="auto" w:fill="auto"/>
          </w:tcPr>
          <w:p w:rsidR="0015596D" w:rsidRPr="0015596D" w:rsidP="00C91630">
            <w:pPr>
              <w:spacing w:before="60"/>
              <w:rPr>
                <w:rFonts w:cs="Arial"/>
                <w:b/>
                <w:szCs w:val="24"/>
              </w:rPr>
            </w:pPr>
            <w:r>
              <w:rPr>
                <w:rFonts w:cs="Arial"/>
                <w:b/>
                <w:szCs w:val="24"/>
              </w:rPr>
              <w:t>Evaluation</w:t>
            </w:r>
          </w:p>
          <w:p w:rsidR="0015596D" w:rsidRPr="0015596D" w:rsidP="00F120BB">
            <w:pPr>
              <w:rPr>
                <w:rFonts w:cs="Arial"/>
                <w:szCs w:val="24"/>
              </w:rPr>
            </w:pPr>
            <w:r>
              <w:rPr>
                <w:rFonts w:cs="Arial"/>
                <w:szCs w:val="24"/>
              </w:rPr>
              <w:t>The award criteria used by GMCA in awarding the Framework Agreement was 40% Quality / 60% Price.  The combined quality and price scores determined the ranking of the contactors.</w:t>
            </w:r>
          </w:p>
        </w:tc>
      </w:tr>
      <w:tr w:rsidTr="005C522F">
        <w:tblPrEx>
          <w:tblW w:w="0" w:type="auto"/>
          <w:tblLook w:val="04A0"/>
        </w:tblPrEx>
        <w:trPr>
          <w:trHeight w:val="3210"/>
        </w:trPr>
        <w:tc>
          <w:tcPr>
            <w:tcW w:w="9016" w:type="dxa"/>
            <w:shd w:val="clear" w:color="auto" w:fill="auto"/>
          </w:tcPr>
          <w:p w:rsidR="00083034" w:rsidRPr="0015596D" w:rsidP="000B5892">
            <w:pPr>
              <w:spacing w:before="60"/>
              <w:jc w:val="both"/>
              <w:rPr>
                <w:rFonts w:cs="Arial"/>
                <w:b/>
                <w:szCs w:val="24"/>
              </w:rPr>
            </w:pPr>
            <w:r w:rsidRPr="0015596D">
              <w:rPr>
                <w:rFonts w:cs="Arial"/>
                <w:b/>
                <w:szCs w:val="24"/>
              </w:rPr>
              <w:t>Contract Detail</w:t>
            </w:r>
          </w:p>
          <w:p w:rsidR="009E3A9D" w:rsidP="00890728">
            <w:pPr>
              <w:jc w:val="both"/>
            </w:pPr>
            <w:r>
              <w:t>The</w:t>
            </w:r>
            <w:r w:rsidRPr="0015596D">
              <w:t xml:space="preserve"> </w:t>
            </w:r>
            <w:r>
              <w:t>multi-supplier framework agreement</w:t>
            </w:r>
            <w:r w:rsidRPr="0015596D">
              <w:t xml:space="preserve"> </w:t>
            </w:r>
            <w:r>
              <w:t xml:space="preserve">will </w:t>
            </w:r>
            <w:r>
              <w:t>provide continued access to specialist contractors who provide electrical connections to street lighting columns.</w:t>
            </w:r>
          </w:p>
          <w:p w:rsidR="00066A35" w:rsidP="00890728">
            <w:pPr>
              <w:jc w:val="both"/>
            </w:pPr>
          </w:p>
          <w:p w:rsidR="00890728" w:rsidRPr="0015596D" w:rsidP="00890728">
            <w:pPr>
              <w:jc w:val="both"/>
            </w:pPr>
            <w:r>
              <w:t xml:space="preserve">Services are </w:t>
            </w:r>
            <w:r w:rsidRPr="0015596D">
              <w:t xml:space="preserve">currently purchased through </w:t>
            </w:r>
            <w:r>
              <w:t xml:space="preserve">the AGMA </w:t>
            </w:r>
            <w:r w:rsidRPr="0015596D">
              <w:t xml:space="preserve">Framework Agreement which is due to expire on </w:t>
            </w:r>
            <w:r>
              <w:t>30</w:t>
            </w:r>
            <w:r w:rsidRPr="00BA5ACB">
              <w:rPr>
                <w:vertAlign w:val="superscript"/>
              </w:rPr>
              <w:t>th</w:t>
            </w:r>
            <w:r>
              <w:t xml:space="preserve"> September 2020.</w:t>
            </w:r>
          </w:p>
          <w:p w:rsidR="00890728" w:rsidRPr="0015596D" w:rsidP="000B5892">
            <w:pPr>
              <w:spacing w:before="60"/>
              <w:jc w:val="both"/>
              <w:rPr>
                <w:rFonts w:cs="Arial"/>
                <w:b/>
                <w:szCs w:val="24"/>
              </w:rPr>
            </w:pPr>
          </w:p>
          <w:p w:rsidR="00066A35" w:rsidRPr="0015596D" w:rsidP="00B034E1">
            <w:pPr>
              <w:autoSpaceDE w:val="0"/>
              <w:autoSpaceDN w:val="0"/>
              <w:jc w:val="both"/>
              <w:rPr>
                <w:rFonts w:cs="Arial"/>
                <w:szCs w:val="24"/>
              </w:rPr>
            </w:pPr>
            <w:r>
              <w:rPr>
                <w:rFonts w:cs="Arial"/>
                <w:szCs w:val="24"/>
              </w:rPr>
              <w:t xml:space="preserve">There is no commitment </w:t>
            </w:r>
            <w:r>
              <w:rPr>
                <w:rFonts w:cs="Arial"/>
                <w:szCs w:val="24"/>
              </w:rPr>
              <w:t xml:space="preserve">to the framework and it provides no guarantee of spend to the appointed suppliers.  </w:t>
            </w:r>
            <w:r w:rsidRPr="0015596D">
              <w:rPr>
                <w:rFonts w:cs="Arial"/>
                <w:szCs w:val="24"/>
              </w:rPr>
              <w:t xml:space="preserve">Purchases </w:t>
            </w:r>
            <w:r>
              <w:rPr>
                <w:rFonts w:cs="Arial"/>
                <w:szCs w:val="24"/>
              </w:rPr>
              <w:t>can</w:t>
            </w:r>
            <w:r w:rsidRPr="0015596D">
              <w:rPr>
                <w:rFonts w:cs="Arial"/>
                <w:szCs w:val="24"/>
              </w:rPr>
              <w:t xml:space="preserve"> be made on a call-off basis as and when </w:t>
            </w:r>
            <w:r>
              <w:rPr>
                <w:rFonts w:cs="Arial"/>
                <w:szCs w:val="24"/>
              </w:rPr>
              <w:t>there is a requirement from the ranked list of suppliers.</w:t>
            </w:r>
          </w:p>
        </w:tc>
      </w:tr>
    </w:tbl>
    <w:p w:rsidR="00DA7EFA"/>
    <w:p w:rsidR="00223606">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CE50E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7"/>
        </w:trPr>
        <w:tc>
          <w:tcPr>
            <w:tcW w:w="9016" w:type="dxa"/>
            <w:tcBorders>
              <w:top w:val="single" w:sz="4" w:space="0" w:color="auto"/>
              <w:left w:val="single" w:sz="4" w:space="0" w:color="auto"/>
              <w:bottom w:val="single" w:sz="4" w:space="0" w:color="auto"/>
              <w:right w:val="single" w:sz="4" w:space="0" w:color="auto"/>
            </w:tcBorders>
            <w:hideMark/>
          </w:tcPr>
          <w:p w:rsidR="00CE50E9">
            <w:pPr>
              <w:rPr>
                <w:rFonts w:cs="Arial"/>
                <w:b/>
                <w:szCs w:val="24"/>
              </w:rPr>
            </w:pPr>
            <w:r>
              <w:rPr>
                <w:rFonts w:cs="Arial"/>
                <w:b/>
                <w:szCs w:val="24"/>
              </w:rPr>
              <w:t>Procurement Title</w:t>
            </w:r>
          </w:p>
          <w:p w:rsidR="00CE50E9">
            <w:pPr>
              <w:rPr>
                <w:rFonts w:cs="Arial"/>
                <w:szCs w:val="24"/>
              </w:rPr>
            </w:pPr>
            <w:r>
              <w:rPr>
                <w:rFonts w:cs="Arial"/>
                <w:szCs w:val="24"/>
              </w:rPr>
              <w:t xml:space="preserve">M55 Heyhouses Link Road (Earthworks </w:t>
            </w:r>
            <w:r>
              <w:rPr>
                <w:rFonts w:cs="Arial"/>
                <w:szCs w:val="24"/>
              </w:rPr>
              <w:t>and Structures).</w:t>
            </w:r>
          </w:p>
        </w:tc>
      </w:tr>
      <w:tr w:rsidTr="00CE50E9">
        <w:tblPrEx>
          <w:tblW w:w="0" w:type="auto"/>
          <w:tblLook w:val="04A0"/>
        </w:tblPrEx>
        <w:trPr>
          <w:trHeight w:val="710"/>
        </w:trPr>
        <w:tc>
          <w:tcPr>
            <w:tcW w:w="9016" w:type="dxa"/>
            <w:tcBorders>
              <w:top w:val="single" w:sz="4" w:space="0" w:color="auto"/>
              <w:left w:val="single" w:sz="4" w:space="0" w:color="auto"/>
              <w:bottom w:val="single" w:sz="4" w:space="0" w:color="auto"/>
              <w:right w:val="single" w:sz="4" w:space="0" w:color="auto"/>
            </w:tcBorders>
            <w:hideMark/>
          </w:tcPr>
          <w:p w:rsidR="00CE50E9">
            <w:pPr>
              <w:rPr>
                <w:rFonts w:cs="Arial"/>
                <w:b/>
                <w:szCs w:val="24"/>
              </w:rPr>
            </w:pPr>
            <w:r>
              <w:rPr>
                <w:rFonts w:cs="Arial"/>
                <w:b/>
                <w:szCs w:val="24"/>
              </w:rPr>
              <w:t>Procurement Option</w:t>
            </w:r>
          </w:p>
          <w:p w:rsidR="00CE50E9">
            <w:pPr>
              <w:rPr>
                <w:rFonts w:cs="Arial"/>
                <w:szCs w:val="24"/>
              </w:rPr>
            </w:pPr>
            <w:r>
              <w:rPr>
                <w:rFonts w:cs="Arial"/>
                <w:szCs w:val="24"/>
              </w:rPr>
              <w:t>OJEU Open Procedure compliant with the Public Contracts Regulations 2015.</w:t>
            </w:r>
          </w:p>
        </w:tc>
      </w:tr>
      <w:tr w:rsidTr="00CE50E9">
        <w:tblPrEx>
          <w:tblW w:w="0" w:type="auto"/>
          <w:tblLook w:val="04A0"/>
        </w:tblPrEx>
        <w:trPr>
          <w:trHeight w:val="706"/>
        </w:trPr>
        <w:tc>
          <w:tcPr>
            <w:tcW w:w="9016" w:type="dxa"/>
            <w:tcBorders>
              <w:top w:val="single" w:sz="4" w:space="0" w:color="auto"/>
              <w:left w:val="single" w:sz="4" w:space="0" w:color="auto"/>
              <w:bottom w:val="single" w:sz="4" w:space="0" w:color="auto"/>
              <w:right w:val="single" w:sz="4" w:space="0" w:color="auto"/>
            </w:tcBorders>
            <w:hideMark/>
          </w:tcPr>
          <w:p w:rsidR="00CE50E9">
            <w:pPr>
              <w:rPr>
                <w:rFonts w:cs="Arial"/>
                <w:b/>
                <w:szCs w:val="24"/>
              </w:rPr>
            </w:pPr>
            <w:r>
              <w:rPr>
                <w:rFonts w:cs="Arial"/>
                <w:b/>
                <w:szCs w:val="24"/>
              </w:rPr>
              <w:t>New or Existing Provision</w:t>
            </w:r>
          </w:p>
          <w:p w:rsidR="00CE50E9">
            <w:pPr>
              <w:rPr>
                <w:rFonts w:cs="Arial"/>
                <w:szCs w:val="24"/>
              </w:rPr>
            </w:pPr>
            <w:r>
              <w:rPr>
                <w:rFonts w:cs="Arial"/>
                <w:szCs w:val="24"/>
              </w:rPr>
              <w:t>New requirement for the M55 Link Road.</w:t>
            </w:r>
          </w:p>
        </w:tc>
      </w:tr>
      <w:tr w:rsidTr="00CE50E9">
        <w:tblPrEx>
          <w:tblW w:w="0" w:type="auto"/>
          <w:tblLook w:val="04A0"/>
        </w:tblPrEx>
        <w:trPr>
          <w:trHeight w:val="6400"/>
        </w:trPr>
        <w:tc>
          <w:tcPr>
            <w:tcW w:w="9016" w:type="dxa"/>
            <w:tcBorders>
              <w:top w:val="single" w:sz="4" w:space="0" w:color="auto"/>
              <w:left w:val="single" w:sz="4" w:space="0" w:color="auto"/>
              <w:bottom w:val="single" w:sz="4" w:space="0" w:color="auto"/>
              <w:right w:val="single" w:sz="4" w:space="0" w:color="auto"/>
            </w:tcBorders>
          </w:tcPr>
          <w:p w:rsidR="00CE50E9">
            <w:pPr>
              <w:rPr>
                <w:rFonts w:cs="Arial"/>
                <w:b/>
                <w:szCs w:val="24"/>
              </w:rPr>
            </w:pPr>
            <w:r>
              <w:rPr>
                <w:rFonts w:cs="Arial"/>
                <w:b/>
                <w:szCs w:val="24"/>
              </w:rPr>
              <w:t>Estimated Contract Value and Funding Arrangements</w:t>
            </w:r>
          </w:p>
          <w:p w:rsidR="00CE50E9">
            <w:pPr>
              <w:jc w:val="both"/>
              <w:rPr>
                <w:rFonts w:cs="Arial"/>
                <w:szCs w:val="24"/>
              </w:rPr>
            </w:pPr>
            <w:r>
              <w:rPr>
                <w:rFonts w:cs="Arial"/>
                <w:szCs w:val="24"/>
              </w:rPr>
              <w:t xml:space="preserve">The construction of the </w:t>
            </w:r>
            <w:r>
              <w:rPr>
                <w:rFonts w:cs="Arial"/>
                <w:szCs w:val="24"/>
              </w:rPr>
              <w:t>unconstrained link road is approximately £25.5m (excluding land and design costs) including risks, of which the estimated contract value of the earthworks element (which includes surcharging the ground) and the structures is £11m.</w:t>
            </w:r>
          </w:p>
          <w:p w:rsidR="00CE50E9">
            <w:pPr>
              <w:jc w:val="both"/>
              <w:rPr>
                <w:rFonts w:cs="Arial"/>
                <w:szCs w:val="24"/>
              </w:rPr>
            </w:pPr>
          </w:p>
          <w:p w:rsidR="00CE50E9">
            <w:pPr>
              <w:spacing w:after="120"/>
              <w:rPr>
                <w:rFonts w:cs="Arial"/>
                <w:szCs w:val="24"/>
              </w:rPr>
            </w:pPr>
            <w:r>
              <w:rPr>
                <w:rFonts w:cs="Arial"/>
                <w:szCs w:val="24"/>
              </w:rPr>
              <w:t>Funding agreed (in princ</w:t>
            </w:r>
            <w:r>
              <w:rPr>
                <w:rFonts w:cs="Arial"/>
                <w:szCs w:val="24"/>
              </w:rPr>
              <w:t xml:space="preserve">iple) to date is £25.55m consisting of: </w:t>
            </w:r>
          </w:p>
          <w:p w:rsidR="00CE50E9" w:rsidP="00CE50E9">
            <w:pPr>
              <w:pStyle w:val="ListParagraph"/>
              <w:numPr>
                <w:ilvl w:val="0"/>
                <w:numId w:val="2"/>
              </w:numPr>
              <w:spacing w:line="256" w:lineRule="auto"/>
              <w:contextualSpacing/>
              <w:rPr>
                <w:rFonts w:cs="Arial"/>
                <w:color w:val="000000"/>
                <w:szCs w:val="24"/>
                <w:lang w:eastAsia="en-US"/>
              </w:rPr>
            </w:pPr>
            <w:r>
              <w:rPr>
                <w:color w:val="000000"/>
                <w:lang w:eastAsia="en-US"/>
              </w:rPr>
              <w:t>Kensington Developments Limited - £2.5m</w:t>
            </w:r>
          </w:p>
          <w:p w:rsidR="00CE50E9" w:rsidP="00CE50E9">
            <w:pPr>
              <w:pStyle w:val="ListParagraph"/>
              <w:numPr>
                <w:ilvl w:val="0"/>
                <w:numId w:val="2"/>
              </w:numPr>
              <w:spacing w:line="256" w:lineRule="auto"/>
              <w:contextualSpacing/>
              <w:rPr>
                <w:color w:val="000000"/>
                <w:lang w:eastAsia="en-US"/>
              </w:rPr>
            </w:pPr>
            <w:r>
              <w:rPr>
                <w:color w:val="000000"/>
                <w:lang w:eastAsia="en-US"/>
              </w:rPr>
              <w:t>National Productivity Investment fund - £5m</w:t>
            </w:r>
          </w:p>
          <w:p w:rsidR="00CE50E9" w:rsidP="00CE50E9">
            <w:pPr>
              <w:pStyle w:val="ListParagraph"/>
              <w:numPr>
                <w:ilvl w:val="0"/>
                <w:numId w:val="2"/>
              </w:numPr>
              <w:spacing w:line="256" w:lineRule="auto"/>
              <w:contextualSpacing/>
              <w:rPr>
                <w:color w:val="000000"/>
                <w:lang w:eastAsia="en-US"/>
              </w:rPr>
            </w:pPr>
            <w:r>
              <w:rPr>
                <w:color w:val="000000"/>
                <w:lang w:eastAsia="en-US"/>
              </w:rPr>
              <w:t>Highways England Growth and Housing Fund - £4.78m</w:t>
            </w:r>
          </w:p>
          <w:p w:rsidR="00CE50E9" w:rsidP="00CE50E9">
            <w:pPr>
              <w:pStyle w:val="ListParagraph"/>
              <w:numPr>
                <w:ilvl w:val="0"/>
                <w:numId w:val="2"/>
              </w:numPr>
              <w:spacing w:line="256" w:lineRule="auto"/>
              <w:contextualSpacing/>
              <w:rPr>
                <w:color w:val="000000"/>
                <w:lang w:eastAsia="en-US"/>
              </w:rPr>
            </w:pPr>
            <w:r>
              <w:rPr>
                <w:color w:val="000000"/>
                <w:lang w:eastAsia="en-US"/>
              </w:rPr>
              <w:t>Shovel Ready Funding via the LEP - £5.79m</w:t>
            </w:r>
          </w:p>
          <w:p w:rsidR="00CE50E9" w:rsidP="00CE50E9">
            <w:pPr>
              <w:pStyle w:val="ListParagraph"/>
              <w:numPr>
                <w:ilvl w:val="0"/>
                <w:numId w:val="2"/>
              </w:numPr>
              <w:spacing w:line="256" w:lineRule="auto"/>
              <w:contextualSpacing/>
              <w:rPr>
                <w:color w:val="000000"/>
                <w:lang w:eastAsia="en-US"/>
              </w:rPr>
            </w:pPr>
            <w:r>
              <w:rPr>
                <w:color w:val="000000"/>
                <w:lang w:eastAsia="en-US"/>
              </w:rPr>
              <w:t>Fylde BC and Blackpool EZ - £2m</w:t>
            </w:r>
          </w:p>
          <w:p w:rsidR="00CE50E9" w:rsidP="00CE50E9">
            <w:pPr>
              <w:pStyle w:val="ListParagraph"/>
              <w:numPr>
                <w:ilvl w:val="0"/>
                <w:numId w:val="2"/>
              </w:numPr>
              <w:spacing w:line="360" w:lineRule="auto"/>
              <w:ind w:left="714" w:hanging="357"/>
              <w:contextualSpacing/>
              <w:rPr>
                <w:color w:val="000000"/>
                <w:lang w:eastAsia="en-US"/>
              </w:rPr>
            </w:pPr>
            <w:r>
              <w:rPr>
                <w:color w:val="000000"/>
                <w:lang w:eastAsia="en-US"/>
              </w:rPr>
              <w:t xml:space="preserve">LCC - </w:t>
            </w:r>
            <w:r>
              <w:rPr>
                <w:color w:val="000000"/>
                <w:lang w:eastAsia="en-US"/>
              </w:rPr>
              <w:t>£5.48m</w:t>
            </w:r>
          </w:p>
          <w:p w:rsidR="00CE50E9">
            <w:pPr>
              <w:autoSpaceDE w:val="0"/>
              <w:autoSpaceDN w:val="0"/>
              <w:spacing w:after="120"/>
              <w:jc w:val="both"/>
              <w:rPr>
                <w:rFonts w:cs="Arial"/>
                <w:color w:val="000000"/>
                <w:szCs w:val="24"/>
                <w:lang w:eastAsia="en-US"/>
              </w:rPr>
            </w:pPr>
            <w:r>
              <w:rPr>
                <w:rFonts w:cs="Arial"/>
                <w:color w:val="000000"/>
                <w:szCs w:val="24"/>
              </w:rPr>
              <w:t>Legal agreements yet to be signed for the following:</w:t>
            </w:r>
          </w:p>
          <w:p w:rsidR="00CE50E9" w:rsidP="00CE50E9">
            <w:pPr>
              <w:pStyle w:val="ListParagraph"/>
              <w:numPr>
                <w:ilvl w:val="0"/>
                <w:numId w:val="3"/>
              </w:numPr>
              <w:autoSpaceDE w:val="0"/>
              <w:autoSpaceDN w:val="0"/>
              <w:spacing w:line="256" w:lineRule="auto"/>
              <w:contextualSpacing/>
              <w:jc w:val="both"/>
              <w:rPr>
                <w:rFonts w:cs="Arial"/>
                <w:color w:val="000000"/>
                <w:szCs w:val="24"/>
                <w:lang w:eastAsia="en-US"/>
              </w:rPr>
            </w:pPr>
            <w:r>
              <w:rPr>
                <w:color w:val="000000"/>
                <w:lang w:eastAsia="en-US"/>
              </w:rPr>
              <w:t xml:space="preserve">Highways England (HE) </w:t>
            </w:r>
          </w:p>
          <w:p w:rsidR="00CE50E9" w:rsidP="00CE50E9">
            <w:pPr>
              <w:pStyle w:val="ListParagraph"/>
              <w:numPr>
                <w:ilvl w:val="0"/>
                <w:numId w:val="3"/>
              </w:numPr>
              <w:autoSpaceDE w:val="0"/>
              <w:autoSpaceDN w:val="0"/>
              <w:spacing w:line="256" w:lineRule="auto"/>
              <w:contextualSpacing/>
              <w:jc w:val="both"/>
              <w:rPr>
                <w:color w:val="000000"/>
                <w:lang w:eastAsia="en-US"/>
              </w:rPr>
            </w:pPr>
            <w:r>
              <w:rPr>
                <w:color w:val="000000"/>
                <w:lang w:eastAsia="en-US"/>
              </w:rPr>
              <w:t>Kensington Developments Limited</w:t>
            </w:r>
          </w:p>
          <w:p w:rsidR="00CE50E9" w:rsidP="00CE50E9">
            <w:pPr>
              <w:pStyle w:val="ListParagraph"/>
              <w:numPr>
                <w:ilvl w:val="0"/>
                <w:numId w:val="3"/>
              </w:numPr>
              <w:autoSpaceDE w:val="0"/>
              <w:autoSpaceDN w:val="0"/>
              <w:spacing w:line="256" w:lineRule="auto"/>
              <w:contextualSpacing/>
              <w:jc w:val="both"/>
              <w:rPr>
                <w:color w:val="000000"/>
                <w:lang w:eastAsia="en-US"/>
              </w:rPr>
            </w:pPr>
            <w:r>
              <w:rPr>
                <w:color w:val="000000"/>
                <w:lang w:eastAsia="en-US"/>
              </w:rPr>
              <w:t xml:space="preserve">Shovel Ready Funding </w:t>
            </w:r>
          </w:p>
          <w:p w:rsidR="00CE50E9">
            <w:pPr>
              <w:autoSpaceDE w:val="0"/>
              <w:autoSpaceDN w:val="0"/>
              <w:jc w:val="both"/>
              <w:rPr>
                <w:rFonts w:cs="Arial"/>
                <w:color w:val="000000"/>
                <w:szCs w:val="24"/>
                <w:lang w:eastAsia="en-US"/>
              </w:rPr>
            </w:pPr>
          </w:p>
          <w:p w:rsidR="00CE50E9">
            <w:pPr>
              <w:jc w:val="both"/>
              <w:rPr>
                <w:rFonts w:cs="Arial"/>
                <w:b/>
                <w:szCs w:val="24"/>
              </w:rPr>
            </w:pPr>
            <w:r>
              <w:rPr>
                <w:rFonts w:cs="Arial"/>
                <w:szCs w:val="24"/>
              </w:rPr>
              <w:t xml:space="preserve">Approval is sought to commence the tender procedure for Earthworks and </w:t>
            </w:r>
            <w:r>
              <w:rPr>
                <w:rFonts w:cs="Arial"/>
                <w:szCs w:val="24"/>
              </w:rPr>
              <w:t>Structures  element</w:t>
            </w:r>
            <w:r>
              <w:rPr>
                <w:rFonts w:cs="Arial"/>
                <w:szCs w:val="24"/>
              </w:rPr>
              <w:t xml:space="preserve"> of the project on the basis</w:t>
            </w:r>
            <w:r>
              <w:rPr>
                <w:rFonts w:cs="Arial"/>
                <w:szCs w:val="24"/>
              </w:rPr>
              <w:t xml:space="preserve"> that no contractual commitment will be entered into until all the funding has been secured and is available for this project.</w:t>
            </w:r>
          </w:p>
        </w:tc>
      </w:tr>
      <w:tr w:rsidTr="00CE50E9">
        <w:tblPrEx>
          <w:tblW w:w="0" w:type="auto"/>
          <w:tblLook w:val="04A0"/>
        </w:tblPrEx>
        <w:trPr>
          <w:trHeight w:val="992"/>
        </w:trPr>
        <w:tc>
          <w:tcPr>
            <w:tcW w:w="9016" w:type="dxa"/>
            <w:tcBorders>
              <w:top w:val="single" w:sz="4" w:space="0" w:color="auto"/>
              <w:left w:val="single" w:sz="4" w:space="0" w:color="auto"/>
              <w:bottom w:val="single" w:sz="4" w:space="0" w:color="auto"/>
              <w:right w:val="single" w:sz="4" w:space="0" w:color="auto"/>
            </w:tcBorders>
            <w:hideMark/>
          </w:tcPr>
          <w:p w:rsidR="00CE50E9">
            <w:pPr>
              <w:rPr>
                <w:rFonts w:cs="Arial"/>
                <w:b/>
                <w:szCs w:val="24"/>
              </w:rPr>
            </w:pPr>
            <w:r>
              <w:rPr>
                <w:rFonts w:cs="Arial"/>
                <w:b/>
                <w:szCs w:val="24"/>
              </w:rPr>
              <w:t>Contract Duration</w:t>
            </w:r>
          </w:p>
          <w:p w:rsidR="00CE50E9">
            <w:pPr>
              <w:rPr>
                <w:rFonts w:cs="Arial"/>
                <w:szCs w:val="24"/>
              </w:rPr>
            </w:pPr>
            <w:r>
              <w:rPr>
                <w:rFonts w:cs="Arial"/>
                <w:szCs w:val="24"/>
              </w:rPr>
              <w:t xml:space="preserve">The Contract for Earthworks and Structures will commence on 01/04/2021 and completes on 01/10/2022 (up to 18months). The total duration for entire link road construction is 30 months. </w:t>
            </w:r>
          </w:p>
        </w:tc>
      </w:tr>
      <w:tr w:rsidTr="00CE50E9">
        <w:tblPrEx>
          <w:tblW w:w="0" w:type="auto"/>
          <w:tblLook w:val="04A0"/>
        </w:tblPrEx>
        <w:trPr>
          <w:trHeight w:val="772"/>
        </w:trPr>
        <w:tc>
          <w:tcPr>
            <w:tcW w:w="9016" w:type="dxa"/>
            <w:tcBorders>
              <w:top w:val="single" w:sz="4" w:space="0" w:color="auto"/>
              <w:left w:val="single" w:sz="4" w:space="0" w:color="auto"/>
              <w:bottom w:val="single" w:sz="4" w:space="0" w:color="auto"/>
              <w:right w:val="single" w:sz="4" w:space="0" w:color="auto"/>
            </w:tcBorders>
            <w:hideMark/>
          </w:tcPr>
          <w:p w:rsidR="00CE50E9">
            <w:pPr>
              <w:rPr>
                <w:rFonts w:cs="Arial"/>
                <w:b/>
                <w:szCs w:val="24"/>
              </w:rPr>
            </w:pPr>
            <w:r>
              <w:rPr>
                <w:rFonts w:cs="Arial"/>
                <w:b/>
                <w:szCs w:val="24"/>
              </w:rPr>
              <w:t>Lotting</w:t>
            </w:r>
          </w:p>
          <w:p w:rsidR="00CE50E9">
            <w:pPr>
              <w:rPr>
                <w:rFonts w:cs="Arial"/>
                <w:szCs w:val="24"/>
              </w:rPr>
            </w:pPr>
            <w:r>
              <w:rPr>
                <w:rFonts w:cs="Arial"/>
                <w:szCs w:val="24"/>
              </w:rPr>
              <w:t>N/A</w:t>
            </w:r>
          </w:p>
        </w:tc>
      </w:tr>
      <w:tr w:rsidTr="00CE50E9">
        <w:tblPrEx>
          <w:tblW w:w="0" w:type="auto"/>
          <w:tblLook w:val="04A0"/>
        </w:tblPrEx>
        <w:tc>
          <w:tcPr>
            <w:tcW w:w="9016" w:type="dxa"/>
            <w:tcBorders>
              <w:top w:val="single" w:sz="4" w:space="0" w:color="auto"/>
              <w:left w:val="single" w:sz="4" w:space="0" w:color="auto"/>
              <w:bottom w:val="single" w:sz="4" w:space="0" w:color="auto"/>
              <w:right w:val="single" w:sz="4" w:space="0" w:color="auto"/>
            </w:tcBorders>
            <w:vAlign w:val="center"/>
          </w:tcPr>
          <w:p w:rsidR="00CE50E9">
            <w:pPr>
              <w:rPr>
                <w:rFonts w:cs="Arial"/>
                <w:b/>
                <w:szCs w:val="24"/>
              </w:rPr>
            </w:pPr>
            <w:r>
              <w:rPr>
                <w:rFonts w:cs="Arial"/>
                <w:b/>
                <w:szCs w:val="24"/>
              </w:rPr>
              <w:t>Evaluation</w:t>
            </w:r>
          </w:p>
          <w:p w:rsidR="00CE50E9">
            <w:pPr>
              <w:rPr>
                <w:rFonts w:cs="Arial"/>
                <w:szCs w:val="24"/>
              </w:rPr>
            </w:pPr>
          </w:p>
          <w:tbl>
            <w:tblPr>
              <w:tblStyle w:val="TableGrid"/>
              <w:tblW w:w="0" w:type="auto"/>
              <w:tblLook w:val="04A0"/>
            </w:tblPr>
            <w:tblGrid>
              <w:gridCol w:w="4395"/>
              <w:gridCol w:w="4395"/>
            </w:tblGrid>
            <w:tr>
              <w:tblPrEx>
                <w:tblW w:w="0" w:type="auto"/>
                <w:tblLook w:val="04A0"/>
              </w:tblPrEx>
              <w:trPr>
                <w:trHeight w:val="349"/>
              </w:trPr>
              <w:tc>
                <w:tcPr>
                  <w:tcW w:w="4395" w:type="dxa"/>
                  <w:tcBorders>
                    <w:top w:val="single" w:sz="4" w:space="0" w:color="auto"/>
                    <w:left w:val="single" w:sz="4" w:space="0" w:color="auto"/>
                    <w:bottom w:val="single" w:sz="4" w:space="0" w:color="auto"/>
                    <w:right w:val="single" w:sz="4" w:space="0" w:color="auto"/>
                  </w:tcBorders>
                  <w:hideMark/>
                </w:tcPr>
                <w:p w:rsidR="00CE50E9">
                  <w:pPr>
                    <w:jc w:val="both"/>
                    <w:rPr>
                      <w:rFonts w:cs="Arial"/>
                      <w:b/>
                      <w:szCs w:val="24"/>
                    </w:rPr>
                  </w:pPr>
                  <w:r>
                    <w:rPr>
                      <w:rFonts w:cs="Arial"/>
                      <w:b/>
                      <w:bCs/>
                      <w:color w:val="000000"/>
                      <w:szCs w:val="24"/>
                    </w:rPr>
                    <w:t>Quality Criteria: 30%</w:t>
                  </w:r>
                </w:p>
              </w:tc>
              <w:tc>
                <w:tcPr>
                  <w:tcW w:w="4395" w:type="dxa"/>
                  <w:tcBorders>
                    <w:top w:val="single" w:sz="4" w:space="0" w:color="auto"/>
                    <w:left w:val="single" w:sz="4" w:space="0" w:color="auto"/>
                    <w:bottom w:val="single" w:sz="4" w:space="0" w:color="auto"/>
                    <w:right w:val="single" w:sz="4" w:space="0" w:color="auto"/>
                  </w:tcBorders>
                  <w:hideMark/>
                </w:tcPr>
                <w:p w:rsidR="00CE50E9">
                  <w:pPr>
                    <w:autoSpaceDE w:val="0"/>
                    <w:autoSpaceDN w:val="0"/>
                    <w:adjustRightInd w:val="0"/>
                    <w:rPr>
                      <w:rFonts w:cs="Arial"/>
                      <w:b/>
                      <w:szCs w:val="24"/>
                    </w:rPr>
                  </w:pPr>
                  <w:r>
                    <w:rPr>
                      <w:rFonts w:cs="Arial"/>
                      <w:b/>
                      <w:bCs/>
                      <w:color w:val="000000"/>
                      <w:szCs w:val="24"/>
                    </w:rPr>
                    <w:t>Financial Criteria: 70%</w:t>
                  </w:r>
                </w:p>
              </w:tc>
            </w:tr>
          </w:tbl>
          <w:p w:rsidR="00CE50E9">
            <w:pPr>
              <w:autoSpaceDE w:val="0"/>
              <w:autoSpaceDN w:val="0"/>
              <w:adjustRightInd w:val="0"/>
              <w:spacing w:before="240"/>
              <w:rPr>
                <w:rFonts w:cs="Arial"/>
                <w:szCs w:val="24"/>
              </w:rPr>
            </w:pPr>
            <w:r>
              <w:rPr>
                <w:rFonts w:cs="Arial"/>
                <w:szCs w:val="24"/>
              </w:rPr>
              <w:t xml:space="preserve">The tender will be evaluated using the </w:t>
            </w:r>
            <w:r>
              <w:rPr>
                <w:rFonts w:cs="Arial"/>
                <w:szCs w:val="24"/>
              </w:rPr>
              <w:t>industry standard s</w:t>
            </w:r>
            <w:r>
              <w:rPr>
                <w:rFonts w:cs="Arial"/>
                <w:szCs w:val="24"/>
              </w:rPr>
              <w:t xml:space="preserve">upplier </w:t>
            </w:r>
            <w:r>
              <w:rPr>
                <w:rFonts w:cs="Arial"/>
                <w:szCs w:val="24"/>
              </w:rPr>
              <w:t>q</w:t>
            </w:r>
            <w:r>
              <w:rPr>
                <w:rFonts w:cs="Arial"/>
                <w:szCs w:val="24"/>
              </w:rPr>
              <w:t>uestionnaire which is compliant with the Public Contracts Regulations 2015.</w:t>
            </w:r>
          </w:p>
          <w:p w:rsidR="00CE50E9">
            <w:pPr>
              <w:jc w:val="both"/>
              <w:rPr>
                <w:rFonts w:cs="Arial"/>
                <w:szCs w:val="24"/>
              </w:rPr>
            </w:pPr>
            <w:r>
              <w:rPr>
                <w:rFonts w:cs="Arial"/>
                <w:szCs w:val="24"/>
              </w:rPr>
              <w:t xml:space="preserve">Stage 1: The Supplier Questionnaire will evaluate suppliers against the following criteria: mandatory and </w:t>
            </w:r>
            <w:r>
              <w:rPr>
                <w:rFonts w:cs="Arial"/>
                <w:szCs w:val="24"/>
              </w:rPr>
              <w:t>discretionary grounds to ascertain suppliers' financial status, technical capability questions, experience, and references. Each tenderer must pass this stage in order to proceed to Stage 2.</w:t>
            </w:r>
          </w:p>
          <w:p w:rsidR="00CE50E9">
            <w:pPr>
              <w:jc w:val="both"/>
              <w:rPr>
                <w:rFonts w:cs="Arial"/>
                <w:szCs w:val="24"/>
              </w:rPr>
            </w:pPr>
            <w:r>
              <w:rPr>
                <w:rFonts w:cs="Arial"/>
                <w:szCs w:val="24"/>
              </w:rPr>
              <w:t>Stage 2: The evaluation will be based on 30% Quality Criteria, 70</w:t>
            </w:r>
            <w:r>
              <w:rPr>
                <w:rFonts w:cs="Arial"/>
                <w:szCs w:val="24"/>
              </w:rPr>
              <w:t xml:space="preserve">% Financial Criteria.  The Quality Criteria will include social value in the overall weighting.  </w:t>
            </w:r>
          </w:p>
          <w:p w:rsidR="00CE50E9">
            <w:pPr>
              <w:spacing w:after="60"/>
              <w:rPr>
                <w:rFonts w:cs="Arial"/>
                <w:szCs w:val="24"/>
              </w:rPr>
            </w:pPr>
            <w:r>
              <w:rPr>
                <w:rFonts w:cs="Arial"/>
                <w:szCs w:val="24"/>
              </w:rPr>
              <w:t>The highest scoring tenderer will be awarded the contract.</w:t>
            </w:r>
          </w:p>
        </w:tc>
      </w:tr>
      <w:tr w:rsidTr="00CE50E9">
        <w:tblPrEx>
          <w:tblW w:w="0" w:type="auto"/>
          <w:tblLook w:val="04A0"/>
        </w:tblPrEx>
        <w:trPr>
          <w:trHeight w:val="6086"/>
        </w:trPr>
        <w:tc>
          <w:tcPr>
            <w:tcW w:w="9016" w:type="dxa"/>
            <w:tcBorders>
              <w:top w:val="single" w:sz="4" w:space="0" w:color="auto"/>
              <w:left w:val="single" w:sz="4" w:space="0" w:color="auto"/>
              <w:bottom w:val="single" w:sz="4" w:space="0" w:color="auto"/>
              <w:right w:val="single" w:sz="4" w:space="0" w:color="auto"/>
            </w:tcBorders>
          </w:tcPr>
          <w:p w:rsidR="00CE50E9">
            <w:pPr>
              <w:jc w:val="both"/>
              <w:rPr>
                <w:rFonts w:cs="Arial"/>
                <w:b/>
                <w:szCs w:val="24"/>
              </w:rPr>
            </w:pPr>
            <w:r>
              <w:rPr>
                <w:rFonts w:cs="Arial"/>
                <w:b/>
                <w:szCs w:val="24"/>
              </w:rPr>
              <w:t>Background</w:t>
            </w:r>
          </w:p>
          <w:p w:rsidR="00CE50E9">
            <w:pPr>
              <w:autoSpaceDE w:val="0"/>
              <w:autoSpaceDN w:val="0"/>
              <w:jc w:val="both"/>
              <w:rPr>
                <w:rFonts w:cs="Arial"/>
                <w:color w:val="000000"/>
                <w:szCs w:val="24"/>
              </w:rPr>
            </w:pPr>
            <w:r>
              <w:rPr>
                <w:rFonts w:cs="Arial"/>
                <w:color w:val="000000"/>
                <w:szCs w:val="24"/>
              </w:rPr>
              <w:t>A previous procurement report concerning the M55 project was considered by Cabinet on 1</w:t>
            </w:r>
            <w:r>
              <w:rPr>
                <w:rFonts w:cs="Arial"/>
                <w:color w:val="000000"/>
                <w:szCs w:val="24"/>
              </w:rPr>
              <w:t xml:space="preserve">3/07/2017. This procurement exercise </w:t>
            </w:r>
            <w:r>
              <w:rPr>
                <w:rFonts w:cs="Arial"/>
                <w:color w:val="000000"/>
                <w:szCs w:val="24"/>
              </w:rPr>
              <w:t xml:space="preserve">was not </w:t>
            </w:r>
            <w:r>
              <w:rPr>
                <w:rFonts w:cs="Arial"/>
                <w:color w:val="000000"/>
                <w:szCs w:val="24"/>
              </w:rPr>
              <w:t xml:space="preserve">completed </w:t>
            </w:r>
            <w:r>
              <w:rPr>
                <w:rFonts w:cs="Arial"/>
                <w:color w:val="000000"/>
                <w:szCs w:val="24"/>
              </w:rPr>
              <w:t xml:space="preserve"> due</w:t>
            </w:r>
            <w:r>
              <w:rPr>
                <w:rFonts w:cs="Arial"/>
                <w:color w:val="000000"/>
                <w:szCs w:val="24"/>
              </w:rPr>
              <w:t xml:space="preserve"> to funding issues and changes to the scope of the project. This report has been prepared in order to reflect the revised scope and request permission to commence a new procurement exercise.</w:t>
            </w:r>
          </w:p>
          <w:p w:rsidR="00CE50E9">
            <w:pPr>
              <w:autoSpaceDE w:val="0"/>
              <w:autoSpaceDN w:val="0"/>
              <w:jc w:val="both"/>
              <w:rPr>
                <w:rFonts w:cs="Arial"/>
                <w:color w:val="000000"/>
                <w:szCs w:val="24"/>
              </w:rPr>
            </w:pPr>
            <w:r>
              <w:rPr>
                <w:rFonts w:cs="Arial"/>
                <w:color w:val="000000"/>
                <w:szCs w:val="24"/>
              </w:rPr>
              <w:t xml:space="preserve">Local </w:t>
            </w:r>
            <w:r>
              <w:rPr>
                <w:rFonts w:cs="Arial"/>
                <w:color w:val="000000"/>
                <w:szCs w:val="24"/>
              </w:rPr>
              <w:t>Plan expectations of Fylde Council highlight circa 1400 dwellings in the strategic location of Lytham. Having regard to the influence of Covid-19, Fylde expect that 903 dwellings will be built by 2034.  The Kensington Developments site can accommodate circ</w:t>
            </w:r>
            <w:r>
              <w:rPr>
                <w:rFonts w:cs="Arial"/>
                <w:color w:val="000000"/>
                <w:szCs w:val="24"/>
              </w:rPr>
              <w:t>a 950 dwellings. The Blackpool Airport Enterprise Zone and other employment opportunities are likely to result in 4989 new jobs, as well as safeguarding 1639 jobs. However, due to Covid-19 a proportion of these new jobs will be created at a date beyond Fyl</w:t>
            </w:r>
            <w:r>
              <w:rPr>
                <w:rFonts w:cs="Arial"/>
                <w:color w:val="000000"/>
                <w:szCs w:val="24"/>
              </w:rPr>
              <w:t xml:space="preserve">de's Local Plan. </w:t>
            </w:r>
          </w:p>
          <w:p w:rsidR="00CE50E9">
            <w:pPr>
              <w:autoSpaceDE w:val="0"/>
              <w:autoSpaceDN w:val="0"/>
              <w:jc w:val="both"/>
              <w:rPr>
                <w:rFonts w:cs="Arial"/>
                <w:color w:val="000000"/>
                <w:szCs w:val="24"/>
              </w:rPr>
            </w:pPr>
            <w:r>
              <w:rPr>
                <w:rFonts w:cs="Arial"/>
                <w:color w:val="000000"/>
                <w:szCs w:val="24"/>
              </w:rPr>
              <w:t>The existing highway network is unable to accommodate the likely traffic that this scale of development will generate. To directly support this growth (and potentially to exceed it), as well as underpin access to the resort towns, the con</w:t>
            </w:r>
            <w:r>
              <w:rPr>
                <w:rFonts w:cs="Arial"/>
                <w:color w:val="000000"/>
                <w:szCs w:val="24"/>
              </w:rPr>
              <w:t>struction of the link road will improve access from the M55 at Peel Hill (Junction 4) and St Annes.</w:t>
            </w:r>
          </w:p>
          <w:p w:rsidR="00CE50E9">
            <w:pPr>
              <w:autoSpaceDE w:val="0"/>
              <w:autoSpaceDN w:val="0"/>
              <w:jc w:val="both"/>
              <w:rPr>
                <w:rFonts w:cs="Arial"/>
                <w:b/>
                <w:szCs w:val="24"/>
              </w:rPr>
            </w:pPr>
            <w:r>
              <w:rPr>
                <w:rFonts w:cs="Arial"/>
                <w:b/>
                <w:szCs w:val="24"/>
              </w:rPr>
              <w:t>Contract Detail</w:t>
            </w:r>
          </w:p>
          <w:p w:rsidR="00CE50E9">
            <w:pPr>
              <w:jc w:val="both"/>
              <w:rPr>
                <w:rFonts w:cs="Arial"/>
                <w:szCs w:val="24"/>
              </w:rPr>
            </w:pPr>
            <w:r>
              <w:rPr>
                <w:rFonts w:cs="Arial"/>
                <w:szCs w:val="24"/>
              </w:rPr>
              <w:t>Access to the M55 is currently via the Queensway and Common Edge Road corridor which is a congested route. Wild Lane was used as an alternat</w:t>
            </w:r>
            <w:r>
              <w:rPr>
                <w:rFonts w:cs="Arial"/>
                <w:szCs w:val="24"/>
              </w:rPr>
              <w:t>ive route with commuters travelling from Lytham St Annes to access the strategic network at M55 junction 4 or the eastern sector of Blackpool or to the Blackpool &amp; Fylde Industrial Estate. The Wild Lane Route has been closed since 2013 for safety reasons (</w:t>
            </w:r>
            <w:r>
              <w:rPr>
                <w:rFonts w:cs="Arial"/>
                <w:szCs w:val="24"/>
              </w:rPr>
              <w:t>structural failure). This has resulted in vehicles being re-routed to existing congested routes with increased junction queuing and corridor delay.</w:t>
            </w:r>
          </w:p>
          <w:p w:rsidR="00CE50E9">
            <w:pPr>
              <w:jc w:val="both"/>
              <w:rPr>
                <w:rFonts w:cs="Arial"/>
                <w:szCs w:val="24"/>
              </w:rPr>
            </w:pPr>
            <w:r>
              <w:rPr>
                <w:rFonts w:cs="Arial"/>
                <w:szCs w:val="24"/>
              </w:rPr>
              <w:t>The Wild Lane corridor needs to reopen to satisfy current and future needs of highway transport for the area</w:t>
            </w:r>
            <w:r>
              <w:rPr>
                <w:rFonts w:cs="Arial"/>
                <w:szCs w:val="24"/>
              </w:rPr>
              <w:t xml:space="preserve"> including supporting economic development. </w:t>
            </w:r>
          </w:p>
          <w:p w:rsidR="00CE50E9">
            <w:pPr>
              <w:jc w:val="both"/>
              <w:rPr>
                <w:rFonts w:cs="Arial"/>
                <w:szCs w:val="24"/>
              </w:rPr>
            </w:pPr>
            <w:r>
              <w:rPr>
                <w:rFonts w:cs="Arial"/>
                <w:szCs w:val="24"/>
              </w:rPr>
              <w:t xml:space="preserve">It is intended to build a link road to run parallel to the existing Wild Lane commencing at the </w:t>
            </w:r>
            <w:r>
              <w:rPr>
                <w:rFonts w:cs="Arial"/>
                <w:szCs w:val="24"/>
              </w:rPr>
              <w:t>Whitehills</w:t>
            </w:r>
            <w:r>
              <w:rPr>
                <w:rFonts w:cs="Arial"/>
                <w:szCs w:val="24"/>
              </w:rPr>
              <w:t xml:space="preserve"> roundabout in the north and tie in to the road delivered as part of the Cypr</w:t>
            </w:r>
            <w:r>
              <w:rPr>
                <w:rFonts w:cs="Arial"/>
                <w:szCs w:val="24"/>
              </w:rPr>
              <w:t>es</w:t>
            </w:r>
            <w:r>
              <w:rPr>
                <w:rFonts w:cs="Arial"/>
                <w:szCs w:val="24"/>
              </w:rPr>
              <w:t>s Point Development in the</w:t>
            </w:r>
            <w:r>
              <w:rPr>
                <w:rFonts w:cs="Arial"/>
                <w:szCs w:val="24"/>
              </w:rPr>
              <w:t xml:space="preserve"> south.</w:t>
            </w:r>
          </w:p>
          <w:p w:rsidR="00CE50E9">
            <w:pPr>
              <w:jc w:val="both"/>
              <w:rPr>
                <w:rFonts w:cs="Arial"/>
                <w:szCs w:val="24"/>
              </w:rPr>
            </w:pPr>
            <w:r>
              <w:rPr>
                <w:rFonts w:cs="Arial"/>
                <w:szCs w:val="24"/>
              </w:rPr>
              <w:t>The unconstrained link road (rural) will be 7.3m wide and include a new roundabout mid-length to support a further new road for east-west movements, its delivery being at a later date</w:t>
            </w:r>
          </w:p>
          <w:p w:rsidR="00CE50E9">
            <w:pPr>
              <w:jc w:val="both"/>
              <w:rPr>
                <w:rFonts w:cs="Arial"/>
                <w:szCs w:val="24"/>
              </w:rPr>
            </w:pPr>
            <w:r>
              <w:rPr>
                <w:rFonts w:cs="Arial"/>
                <w:szCs w:val="24"/>
              </w:rPr>
              <w:t>The existing Wild Lane will be used as a sustainable route for p</w:t>
            </w:r>
            <w:r>
              <w:rPr>
                <w:rFonts w:cs="Arial"/>
                <w:szCs w:val="24"/>
              </w:rPr>
              <w:t xml:space="preserve">edestrians, cyclists, and equestrians.  </w:t>
            </w:r>
          </w:p>
          <w:p w:rsidR="00CE50E9">
            <w:pPr>
              <w:jc w:val="both"/>
              <w:rPr>
                <w:rFonts w:cs="Arial"/>
                <w:szCs w:val="24"/>
              </w:rPr>
            </w:pPr>
            <w:r>
              <w:rPr>
                <w:rFonts w:cs="Arial"/>
                <w:szCs w:val="24"/>
              </w:rPr>
              <w:t>The link road scheme can be divided into three parts of which part 2 forms the basis of this report and the proposed procurement:</w:t>
            </w:r>
          </w:p>
          <w:p w:rsidR="00CE50E9">
            <w:pPr>
              <w:spacing w:before="120"/>
              <w:jc w:val="both"/>
              <w:rPr>
                <w:rFonts w:cs="Arial"/>
                <w:szCs w:val="24"/>
              </w:rPr>
            </w:pPr>
            <w:r>
              <w:rPr>
                <w:rFonts w:cs="Arial"/>
                <w:szCs w:val="24"/>
              </w:rPr>
              <w:t xml:space="preserve">Part 1: Pre-commencement works, service diversions and their protection (considered </w:t>
            </w:r>
            <w:r>
              <w:rPr>
                <w:rFonts w:cs="Arial"/>
                <w:szCs w:val="24"/>
              </w:rPr>
              <w:t>and supported through other reports, these works are ongoing). Of which most works are being progressed by the utility companies and their contractors.</w:t>
            </w:r>
          </w:p>
          <w:p w:rsidR="00CE50E9">
            <w:pPr>
              <w:spacing w:before="120"/>
              <w:jc w:val="both"/>
              <w:rPr>
                <w:rFonts w:cs="Arial"/>
                <w:szCs w:val="24"/>
              </w:rPr>
            </w:pPr>
            <w:r>
              <w:rPr>
                <w:rFonts w:cs="Arial"/>
                <w:szCs w:val="24"/>
              </w:rPr>
              <w:t>Part 2: Works to stabilise the ground and also forming the road foundation (surcharging the ground/prelo</w:t>
            </w:r>
            <w:r>
              <w:rPr>
                <w:rFonts w:cs="Arial"/>
                <w:szCs w:val="24"/>
              </w:rPr>
              <w:t xml:space="preserve">ading). Design, deliver and construct structural elements i.e. structural culverts. Preloading involves bringing in many cubic tonnes of material on to the site to create a stable base on which the road can be constructed. </w:t>
            </w:r>
          </w:p>
          <w:p w:rsidR="00CE50E9">
            <w:pPr>
              <w:spacing w:before="120"/>
              <w:jc w:val="both"/>
              <w:rPr>
                <w:rFonts w:cs="Arial"/>
                <w:szCs w:val="24"/>
              </w:rPr>
            </w:pPr>
            <w:r>
              <w:rPr>
                <w:rFonts w:cs="Arial"/>
                <w:szCs w:val="24"/>
              </w:rPr>
              <w:t xml:space="preserve">Part 3: Construct the road with </w:t>
            </w:r>
            <w:r>
              <w:rPr>
                <w:rFonts w:cs="Arial"/>
                <w:szCs w:val="24"/>
              </w:rPr>
              <w:t>sustainable provision delivered to the existing Wild Lane (this is to be progressed by the County Council's Highways Service.</w:t>
            </w:r>
          </w:p>
          <w:p w:rsidR="00CE50E9">
            <w:pPr>
              <w:jc w:val="both"/>
              <w:rPr>
                <w:rFonts w:cs="Arial"/>
                <w:bCs/>
                <w:szCs w:val="24"/>
              </w:rPr>
            </w:pPr>
          </w:p>
          <w:p w:rsidR="00CE50E9">
            <w:pPr>
              <w:rPr>
                <w:rFonts w:cs="Arial"/>
                <w:b/>
                <w:bCs/>
                <w:szCs w:val="24"/>
              </w:rPr>
            </w:pPr>
            <w:r>
              <w:rPr>
                <w:rFonts w:cs="Arial"/>
                <w:b/>
                <w:bCs/>
                <w:szCs w:val="24"/>
              </w:rPr>
              <w:t>Significant positive impacts of the scheme</w:t>
            </w:r>
          </w:p>
          <w:p w:rsidR="00CE50E9" w:rsidP="00CE50E9">
            <w:pPr>
              <w:pStyle w:val="ListParagraph"/>
              <w:numPr>
                <w:ilvl w:val="0"/>
                <w:numId w:val="4"/>
              </w:numPr>
              <w:spacing w:line="256" w:lineRule="auto"/>
              <w:contextualSpacing/>
              <w:rPr>
                <w:rFonts w:cs="Arial"/>
                <w:szCs w:val="24"/>
                <w:lang w:eastAsia="en-US"/>
              </w:rPr>
            </w:pPr>
            <w:r>
              <w:rPr>
                <w:lang w:eastAsia="en-US"/>
              </w:rPr>
              <w:t xml:space="preserve">To satisfy current and future needs of highway transport </w:t>
            </w:r>
          </w:p>
          <w:p w:rsidR="00CE50E9" w:rsidP="00CE50E9">
            <w:pPr>
              <w:pStyle w:val="ListParagraph"/>
              <w:numPr>
                <w:ilvl w:val="0"/>
                <w:numId w:val="4"/>
              </w:numPr>
              <w:spacing w:line="256" w:lineRule="auto"/>
              <w:contextualSpacing/>
              <w:rPr>
                <w:lang w:eastAsia="en-US"/>
              </w:rPr>
            </w:pPr>
            <w:r>
              <w:rPr>
                <w:lang w:eastAsia="en-US"/>
              </w:rPr>
              <w:t xml:space="preserve">Supporting economic </w:t>
            </w:r>
            <w:r>
              <w:rPr>
                <w:lang w:eastAsia="en-US"/>
              </w:rPr>
              <w:t>development</w:t>
            </w:r>
          </w:p>
          <w:p w:rsidR="00CE50E9">
            <w:pPr>
              <w:pStyle w:val="ListParagraph"/>
              <w:spacing w:line="256" w:lineRule="auto"/>
              <w:rPr>
                <w:lang w:eastAsia="en-US"/>
              </w:rPr>
            </w:pPr>
          </w:p>
          <w:p w:rsidR="00CE50E9">
            <w:pPr>
              <w:rPr>
                <w:rFonts w:cs="Arial"/>
                <w:b/>
                <w:bCs/>
                <w:szCs w:val="24"/>
                <w:lang w:eastAsia="en-US"/>
              </w:rPr>
            </w:pPr>
            <w:r>
              <w:rPr>
                <w:rFonts w:cs="Arial"/>
                <w:b/>
                <w:bCs/>
                <w:szCs w:val="24"/>
              </w:rPr>
              <w:t>Significant negative impacts of the scheme</w:t>
            </w:r>
          </w:p>
          <w:p w:rsidR="00CE50E9" w:rsidP="00CE50E9">
            <w:pPr>
              <w:pStyle w:val="ListParagraph"/>
              <w:numPr>
                <w:ilvl w:val="0"/>
                <w:numId w:val="4"/>
              </w:numPr>
              <w:spacing w:line="256" w:lineRule="auto"/>
              <w:contextualSpacing/>
              <w:rPr>
                <w:rFonts w:cs="Arial"/>
                <w:szCs w:val="24"/>
                <w:lang w:eastAsia="en-US"/>
              </w:rPr>
            </w:pPr>
            <w:r>
              <w:rPr>
                <w:lang w:eastAsia="en-US"/>
              </w:rPr>
              <w:t>Disruption to surrounding routes during construction</w:t>
            </w:r>
          </w:p>
          <w:p w:rsidR="00CE50E9">
            <w:pPr>
              <w:ind w:firstLine="360"/>
              <w:rPr>
                <w:rFonts w:cs="Arial"/>
                <w:szCs w:val="24"/>
                <w:lang w:eastAsia="en-US"/>
              </w:rPr>
            </w:pPr>
          </w:p>
          <w:p w:rsidR="00CE50E9">
            <w:pPr>
              <w:rPr>
                <w:rFonts w:cs="Arial"/>
                <w:b/>
                <w:bCs/>
                <w:szCs w:val="24"/>
              </w:rPr>
            </w:pPr>
            <w:r>
              <w:rPr>
                <w:rFonts w:cs="Arial"/>
                <w:b/>
                <w:bCs/>
                <w:szCs w:val="24"/>
              </w:rPr>
              <w:t>Impact of not progressing the Scheme</w:t>
            </w:r>
          </w:p>
          <w:p w:rsidR="00CE50E9" w:rsidP="00CE50E9">
            <w:pPr>
              <w:pStyle w:val="ListParagraph"/>
              <w:numPr>
                <w:ilvl w:val="0"/>
                <w:numId w:val="4"/>
              </w:numPr>
              <w:spacing w:line="256" w:lineRule="auto"/>
              <w:contextualSpacing/>
              <w:rPr>
                <w:rFonts w:cs="Arial"/>
                <w:szCs w:val="24"/>
                <w:lang w:eastAsia="en-US"/>
              </w:rPr>
            </w:pPr>
            <w:r>
              <w:rPr>
                <w:lang w:eastAsia="en-US"/>
              </w:rPr>
              <w:t>Continued congestion of existing routes</w:t>
            </w:r>
          </w:p>
          <w:p w:rsidR="00CE50E9" w:rsidP="00CE50E9">
            <w:pPr>
              <w:pStyle w:val="ListParagraph"/>
              <w:numPr>
                <w:ilvl w:val="0"/>
                <w:numId w:val="4"/>
              </w:numPr>
              <w:spacing w:line="256" w:lineRule="auto"/>
              <w:contextualSpacing/>
              <w:rPr>
                <w:lang w:eastAsia="en-US"/>
              </w:rPr>
            </w:pPr>
            <w:bookmarkStart w:id="0" w:name="_GoBack"/>
            <w:r>
              <w:rPr>
                <w:lang w:eastAsia="en-US"/>
              </w:rPr>
              <w:t xml:space="preserve">Prohibit </w:t>
            </w:r>
            <w:bookmarkEnd w:id="0"/>
            <w:r>
              <w:rPr>
                <w:lang w:eastAsia="en-US"/>
              </w:rPr>
              <w:t>housing and economic development</w:t>
            </w:r>
          </w:p>
        </w:tc>
      </w:tr>
    </w:tbl>
    <w:p w:rsidR="00DA7EFA">
      <w:pPr>
        <w:spacing w:after="160" w:line="259" w:lineRule="auto"/>
      </w:pPr>
    </w:p>
    <w:p w:rsidR="0073395B"/>
    <w:p w:rsidR="0077296C" w:rsidP="00097B54">
      <w:pPr>
        <w:spacing w:after="160" w:line="259" w:lineRule="auto"/>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7C557E"/>
    <w:multiLevelType w:val="hybridMultilevel"/>
    <w:tmpl w:val="FFC83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0F4617"/>
    <w:multiLevelType w:val="hybridMultilevel"/>
    <w:tmpl w:val="FC248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9E43C31"/>
    <w:multiLevelType w:val="hybridMultilevel"/>
    <w:tmpl w:val="C84C8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8781F6F"/>
    <w:multiLevelType w:val="hybridMultilevel"/>
    <w:tmpl w:val="E46CA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3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034"/>
    <w:pPr>
      <w:ind w:left="720"/>
    </w:pPr>
  </w:style>
  <w:style w:type="character" w:styleId="Hyperlink">
    <w:name w:val="Hyperlink"/>
    <w:uiPriority w:val="99"/>
    <w:unhideWhenUsed/>
    <w:rsid w:val="00083034"/>
    <w:rPr>
      <w:strike w:val="0"/>
      <w:dstrike w:val="0"/>
      <w:color w:val="0088CC"/>
      <w:u w:val="none"/>
      <w:effect w:val="none"/>
    </w:rPr>
  </w:style>
  <w:style w:type="character" w:customStyle="1" w:styleId="ListParagraphChar">
    <w:name w:val="List Paragraph Char"/>
    <w:link w:val="ListParagraph"/>
    <w:uiPriority w:val="34"/>
    <w:locked/>
    <w:rsid w:val="00083034"/>
    <w:rPr>
      <w:rFonts w:ascii="Arial" w:eastAsia="Times New Roman" w:hAnsi="Arial" w:cs="Times New Roman"/>
      <w:sz w:val="24"/>
      <w:szCs w:val="20"/>
      <w:lang w:eastAsia="en-GB"/>
    </w:rPr>
  </w:style>
  <w:style w:type="table" w:styleId="TableGrid">
    <w:name w:val="Table Grid"/>
    <w:basedOn w:val="TableNormal"/>
    <w:uiPriority w:val="39"/>
    <w:rsid w:val="0073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741"/>
    <w:rPr>
      <w:sz w:val="16"/>
      <w:szCs w:val="16"/>
    </w:rPr>
  </w:style>
  <w:style w:type="paragraph" w:styleId="CommentText">
    <w:name w:val="annotation text"/>
    <w:basedOn w:val="Normal"/>
    <w:link w:val="CommentTextChar"/>
    <w:uiPriority w:val="99"/>
    <w:semiHidden/>
    <w:unhideWhenUsed/>
    <w:rsid w:val="00345741"/>
    <w:rPr>
      <w:sz w:val="20"/>
    </w:rPr>
  </w:style>
  <w:style w:type="character" w:customStyle="1" w:styleId="CommentTextChar">
    <w:name w:val="Comment Text Char"/>
    <w:basedOn w:val="DefaultParagraphFont"/>
    <w:link w:val="CommentText"/>
    <w:uiPriority w:val="99"/>
    <w:semiHidden/>
    <w:rsid w:val="0034574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741"/>
    <w:rPr>
      <w:b/>
      <w:bCs/>
    </w:rPr>
  </w:style>
  <w:style w:type="character" w:customStyle="1" w:styleId="CommentSubjectChar">
    <w:name w:val="Comment Subject Char"/>
    <w:basedOn w:val="CommentTextChar"/>
    <w:link w:val="CommentSubject"/>
    <w:uiPriority w:val="99"/>
    <w:semiHidden/>
    <w:rsid w:val="00345741"/>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45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061DC"/>
    <w:pPr>
      <w:tabs>
        <w:tab w:val="center" w:pos="4513"/>
        <w:tab w:val="right" w:pos="9026"/>
      </w:tabs>
    </w:pPr>
  </w:style>
  <w:style w:type="character" w:customStyle="1" w:styleId="HeaderChar">
    <w:name w:val="Header Char"/>
    <w:basedOn w:val="DefaultParagraphFont"/>
    <w:link w:val="Header"/>
    <w:uiPriority w:val="99"/>
    <w:rsid w:val="00E061D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061DC"/>
    <w:pPr>
      <w:tabs>
        <w:tab w:val="center" w:pos="4513"/>
        <w:tab w:val="right" w:pos="9026"/>
      </w:tabs>
    </w:pPr>
  </w:style>
  <w:style w:type="character" w:customStyle="1" w:styleId="FooterChar">
    <w:name w:val="Footer Char"/>
    <w:basedOn w:val="DefaultParagraphFont"/>
    <w:link w:val="Footer"/>
    <w:uiPriority w:val="99"/>
    <w:rsid w:val="00E061DC"/>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AF3D-838E-4778-9D5C-BFDAF2DB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Paul</dc:creator>
  <cp:lastModifiedBy>Gorman, Dave</cp:lastModifiedBy>
  <cp:revision>11</cp:revision>
  <cp:lastPrinted>2018-02-14T09:11:00Z</cp:lastPrinted>
  <dcterms:created xsi:type="dcterms:W3CDTF">2020-08-13T09:51:00Z</dcterms:created>
  <dcterms:modified xsi:type="dcterms:W3CDTF">2020-08-18T14:24:00Z</dcterms:modified>
</cp:coreProperties>
</file>